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  <w:t>Bachelor of Education in Special Education- (B.Ed. SE-VI</w:t>
      </w:r>
      <w:r>
        <w:rPr>
          <w:rFonts w:hint="default" w:eastAsia="Calibri" w:cs="Times New Roman"/>
          <w:b/>
          <w:color w:val="000000"/>
          <w:sz w:val="26"/>
          <w:szCs w:val="26"/>
          <w:lang w:val="en-US" w:bidi="hi-IN"/>
        </w:rPr>
        <w:t>/ID</w:t>
      </w:r>
      <w:bookmarkStart w:id="0" w:name="_GoBack"/>
      <w:bookmarkEnd w:id="0"/>
      <w:r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  <w:t xml:space="preserve">) 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  <w:t>(Semester: IV)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b/>
          <w:spacing w:val="-1"/>
          <w:sz w:val="23"/>
        </w:rPr>
        <w:t>Course</w:t>
      </w:r>
      <w:r>
        <w:rPr>
          <w:rFonts w:ascii="Times New Roman" w:hAnsi="Times New Roman" w:cs="Times New Roman"/>
          <w:b/>
          <w:spacing w:val="-3"/>
          <w:sz w:val="23"/>
        </w:rPr>
        <w:t xml:space="preserve"> </w:t>
      </w:r>
      <w:r>
        <w:rPr>
          <w:rFonts w:ascii="Times New Roman" w:hAnsi="Times New Roman" w:cs="Times New Roman"/>
          <w:b/>
          <w:sz w:val="23"/>
        </w:rPr>
        <w:t>code:</w:t>
      </w:r>
      <w:r>
        <w:rPr>
          <w:rFonts w:ascii="Times New Roman" w:hAnsi="Times New Roman" w:cs="Times New Roman"/>
          <w:b/>
          <w:spacing w:val="-6"/>
          <w:sz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</w:rPr>
        <w:t xml:space="preserve">B-10 </w:t>
      </w:r>
      <w:r>
        <w:rPr>
          <w:rFonts w:hint="default" w:cs="Times New Roman"/>
          <w:b/>
          <w:bCs/>
          <w:sz w:val="23"/>
          <w:lang w:val="en-US"/>
        </w:rPr>
        <w:t>F</w:t>
      </w:r>
    </w:p>
    <w:p>
      <w:pPr>
        <w:shd w:val="clear" w:color="auto" w:fill="FFFFFF"/>
        <w:ind w:left="134"/>
        <w:jc w:val="center"/>
      </w:pPr>
      <w:r>
        <w:rPr>
          <w:color w:val="000000"/>
          <w:spacing w:val="6"/>
          <w:sz w:val="28"/>
          <w:szCs w:val="28"/>
        </w:rPr>
        <w:t>GENDER AND DISABILITY</w:t>
      </w:r>
    </w:p>
    <w:p>
      <w:pPr>
        <w:shd w:val="clear" w:color="auto" w:fill="FFFFFF"/>
        <w:spacing w:before="413" w:beforeAutospacing="0"/>
        <w:ind w:left="5"/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Credits: 02</w:t>
      </w:r>
    </w:p>
    <w:p>
      <w:pPr>
        <w:shd w:val="clear" w:color="auto" w:fill="FFFFFF"/>
        <w:spacing w:before="134" w:beforeAutospacing="0"/>
        <w:ind w:left="5"/>
      </w:pPr>
      <w:r>
        <w:rPr>
          <w:b/>
          <w:bCs/>
          <w:color w:val="000000"/>
          <w:spacing w:val="-3"/>
          <w:sz w:val="24"/>
          <w:szCs w:val="24"/>
        </w:rPr>
        <w:t>Contact Hours: 30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Marks: 50</w:t>
      </w:r>
    </w:p>
    <w:p>
      <w:pPr>
        <w:shd w:val="clear" w:color="auto" w:fill="FFFFFF"/>
        <w:spacing w:before="5" w:beforeAutospacing="0" w:line="432" w:lineRule="exact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Learning Outcomes:</w:t>
      </w:r>
    </w:p>
    <w:p>
      <w:pPr>
        <w:shd w:val="clear" w:color="auto" w:fill="FFFFFF"/>
        <w:spacing w:before="5" w:beforeAutospacing="0" w:line="432" w:lineRule="exact"/>
      </w:pPr>
      <w:r>
        <w:rPr>
          <w:color w:val="000000"/>
          <w:sz w:val="24"/>
          <w:szCs w:val="24"/>
        </w:rPr>
        <w:t>After completion of this course the student-teachers will be able to</w:t>
      </w:r>
    </w:p>
    <w:p>
      <w:pPr>
        <w:pStyle w:val="4"/>
        <w:numPr>
          <w:ilvl w:val="0"/>
          <w:numId w:val="1"/>
        </w:numPr>
        <w:shd w:val="clear" w:color="auto" w:fill="FFFFFF"/>
        <w:spacing w:line="432" w:lineRule="exact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Develop an understanding of human rights based approach in context of disability.</w:t>
      </w:r>
    </w:p>
    <w:p>
      <w:pPr>
        <w:pStyle w:val="4"/>
        <w:numPr>
          <w:ilvl w:val="0"/>
          <w:numId w:val="1"/>
        </w:numPr>
        <w:shd w:val="clear" w:color="auto" w:fill="FFFFFF"/>
        <w:spacing w:line="331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Explain the impact of gender on disability.</w:t>
      </w:r>
    </w:p>
    <w:p>
      <w:pPr>
        <w:pStyle w:val="4"/>
        <w:numPr>
          <w:ilvl w:val="0"/>
          <w:numId w:val="1"/>
        </w:numPr>
        <w:shd w:val="clear" w:color="auto" w:fill="FFFFFF"/>
        <w:spacing w:line="331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Describe the personal and demographic perspectives of gender and disability.</w:t>
      </w:r>
    </w:p>
    <w:p>
      <w:pPr>
        <w:pStyle w:val="4"/>
        <w:numPr>
          <w:ilvl w:val="0"/>
          <w:numId w:val="1"/>
        </w:numPr>
        <w:shd w:val="clear" w:color="auto" w:fill="FFFFFF"/>
        <w:spacing w:line="331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Analyse the issues related to disabled women and girl children.</w:t>
      </w:r>
    </w:p>
    <w:p>
      <w:pPr>
        <w:shd w:val="clear" w:color="auto" w:fill="FFFFFF"/>
        <w:spacing w:before="278" w:beforeAutospacing="0"/>
      </w:pPr>
      <w:r>
        <w:rPr>
          <w:b/>
          <w:bCs/>
          <w:color w:val="000000"/>
          <w:spacing w:val="-2"/>
          <w:sz w:val="24"/>
          <w:szCs w:val="24"/>
        </w:rPr>
        <w:t>Unit 1: Human Right-based Approach and Disability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10 Hours</w:t>
      </w:r>
    </w:p>
    <w:p>
      <w:pPr>
        <w:pStyle w:val="4"/>
        <w:numPr>
          <w:ilvl w:val="1"/>
          <w:numId w:val="2"/>
        </w:numPr>
        <w:shd w:val="clear" w:color="auto" w:fill="FFFFFF"/>
        <w:spacing w:before="120" w:beforeAutospacing="0" w:line="317" w:lineRule="exact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Human Rights-Based Approach: Concept and History</w:t>
      </w:r>
    </w:p>
    <w:p>
      <w:pPr>
        <w:pStyle w:val="4"/>
        <w:numPr>
          <w:ilvl w:val="1"/>
          <w:numId w:val="2"/>
        </w:numPr>
        <w:shd w:val="clear" w:color="auto" w:fill="FFFFFF"/>
        <w:spacing w:line="317" w:lineRule="exact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Principles of Human Rights-Based Approach</w:t>
      </w:r>
    </w:p>
    <w:p>
      <w:pPr>
        <w:pStyle w:val="4"/>
        <w:numPr>
          <w:ilvl w:val="0"/>
          <w:numId w:val="3"/>
        </w:numPr>
        <w:shd w:val="clear" w:color="auto" w:fill="FFFFFF"/>
        <w:spacing w:line="317" w:lineRule="exact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Equality and Non-Discrimination</w:t>
      </w:r>
    </w:p>
    <w:p>
      <w:pPr>
        <w:pStyle w:val="4"/>
        <w:numPr>
          <w:ilvl w:val="0"/>
          <w:numId w:val="3"/>
        </w:numPr>
        <w:shd w:val="clear" w:color="auto" w:fill="FFFFFF"/>
        <w:spacing w:before="5" w:beforeAutospacing="0"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Universality &amp; Inalienability</w:t>
      </w:r>
    </w:p>
    <w:p>
      <w:pPr>
        <w:pStyle w:val="4"/>
        <w:numPr>
          <w:ilvl w:val="0"/>
          <w:numId w:val="3"/>
        </w:numPr>
        <w:shd w:val="clear" w:color="auto" w:fill="FFFFFF"/>
        <w:spacing w:before="5" w:beforeAutospacing="0"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and Inclusion</w:t>
      </w:r>
    </w:p>
    <w:p>
      <w:pPr>
        <w:pStyle w:val="4"/>
        <w:numPr>
          <w:ilvl w:val="0"/>
          <w:numId w:val="3"/>
        </w:numPr>
        <w:shd w:val="clear" w:color="auto" w:fill="FFFFFF"/>
        <w:spacing w:before="5" w:beforeAutospacing="0"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Accountability and Rule of Law</w:t>
      </w:r>
    </w:p>
    <w:p>
      <w:pPr>
        <w:pStyle w:val="4"/>
        <w:numPr>
          <w:ilvl w:val="1"/>
          <w:numId w:val="2"/>
        </w:numPr>
        <w:shd w:val="clear" w:color="auto" w:fill="FFFFFF"/>
        <w:spacing w:line="317" w:lineRule="exact"/>
      </w:pPr>
      <w:r>
        <w:rPr>
          <w:color w:val="000000"/>
          <w:sz w:val="24"/>
          <w:szCs w:val="24"/>
        </w:rPr>
        <w:t>Elements of Human Rights System</w:t>
      </w:r>
    </w:p>
    <w:p>
      <w:pPr>
        <w:pStyle w:val="4"/>
        <w:numPr>
          <w:ilvl w:val="0"/>
          <w:numId w:val="4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Legal Framework</w:t>
      </w:r>
    </w:p>
    <w:p>
      <w:pPr>
        <w:pStyle w:val="4"/>
        <w:numPr>
          <w:ilvl w:val="0"/>
          <w:numId w:val="4"/>
        </w:numPr>
        <w:shd w:val="clear" w:color="auto" w:fill="FFFFFF"/>
        <w:spacing w:before="5" w:beforeAutospacing="0" w:line="317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Institutions</w:t>
      </w:r>
    </w:p>
    <w:p>
      <w:pPr>
        <w:pStyle w:val="4"/>
        <w:numPr>
          <w:ilvl w:val="0"/>
          <w:numId w:val="4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Policies &amp; Programs </w:t>
      </w:r>
    </w:p>
    <w:p>
      <w:pPr>
        <w:pStyle w:val="4"/>
        <w:numPr>
          <w:ilvl w:val="0"/>
          <w:numId w:val="4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Awareness</w:t>
      </w:r>
    </w:p>
    <w:p>
      <w:pPr>
        <w:pStyle w:val="4"/>
        <w:numPr>
          <w:ilvl w:val="0"/>
          <w:numId w:val="4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Civil Society</w:t>
      </w:r>
    </w:p>
    <w:p>
      <w:pPr>
        <w:numPr>
          <w:ilvl w:val="0"/>
          <w:numId w:val="5"/>
        </w:numPr>
        <w:shd w:val="clear" w:color="auto" w:fill="FFFFFF"/>
        <w:spacing w:line="317" w:lineRule="exact"/>
        <w:ind w:left="384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Advantage of Human Rights-Based Approach</w:t>
      </w:r>
    </w:p>
    <w:p>
      <w:pPr>
        <w:numPr>
          <w:ilvl w:val="0"/>
          <w:numId w:val="5"/>
        </w:numPr>
        <w:shd w:val="clear" w:color="auto" w:fill="FFFFFF"/>
        <w:spacing w:line="317" w:lineRule="exact"/>
        <w:ind w:left="384"/>
        <w:rPr>
          <w:color w:val="000000"/>
          <w:spacing w:val="-1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Implications for Disability</w:t>
      </w:r>
    </w:p>
    <w:p>
      <w:pPr>
        <w:pStyle w:val="4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Empowerment</w:t>
      </w:r>
    </w:p>
    <w:p>
      <w:pPr>
        <w:pStyle w:val="4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Enforceability</w:t>
      </w:r>
    </w:p>
    <w:p>
      <w:pPr>
        <w:pStyle w:val="4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Indivisibility</w:t>
      </w:r>
    </w:p>
    <w:p>
      <w:pPr>
        <w:pStyle w:val="4"/>
        <w:numPr>
          <w:ilvl w:val="0"/>
          <w:numId w:val="6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Participation</w:t>
      </w:r>
    </w:p>
    <w:p>
      <w:pPr>
        <w:shd w:val="clear" w:color="auto" w:fill="FFFFFF"/>
        <w:spacing w:before="278" w:beforeAutospacing="0"/>
      </w:pPr>
      <w:r>
        <w:rPr>
          <w:b/>
          <w:bCs/>
          <w:color w:val="000000"/>
          <w:spacing w:val="-2"/>
          <w:sz w:val="24"/>
          <w:szCs w:val="24"/>
        </w:rPr>
        <w:t>Unit 2: Gender and Disability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10 Hours</w:t>
      </w:r>
    </w:p>
    <w:p>
      <w:pPr>
        <w:numPr>
          <w:ilvl w:val="0"/>
          <w:numId w:val="7"/>
        </w:numPr>
        <w:shd w:val="clear" w:color="auto" w:fill="FFFFFF"/>
        <w:spacing w:before="125" w:beforeAutospacing="0" w:line="317" w:lineRule="exact"/>
        <w:ind w:left="360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Sex &amp; Gender: Concept &amp; Difference</w:t>
      </w:r>
    </w:p>
    <w:p>
      <w:pPr>
        <w:numPr>
          <w:ilvl w:val="0"/>
          <w:numId w:val="7"/>
        </w:numPr>
        <w:shd w:val="clear" w:color="auto" w:fill="FFFFFF"/>
        <w:spacing w:line="317" w:lineRule="exact"/>
        <w:ind w:left="360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Impairment &amp; Disability: Concept &amp; Difference</w:t>
      </w:r>
    </w:p>
    <w:p>
      <w:pPr>
        <w:numPr>
          <w:ilvl w:val="0"/>
          <w:numId w:val="7"/>
        </w:numPr>
        <w:shd w:val="clear" w:color="auto" w:fill="FFFFFF"/>
        <w:spacing w:line="317" w:lineRule="exact"/>
        <w:ind w:left="360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Gendered Experience of Disability</w:t>
      </w:r>
    </w:p>
    <w:p>
      <w:pPr>
        <w:ind w:left="360"/>
        <w:rPr>
          <w:color w:val="000000"/>
          <w:sz w:val="24"/>
          <w:szCs w:val="24"/>
        </w:rPr>
      </w:pPr>
    </w:p>
    <w:p>
      <w:pPr>
        <w:pStyle w:val="4"/>
        <w:numPr>
          <w:ilvl w:val="0"/>
          <w:numId w:val="8"/>
        </w:numPr>
        <w:rPr>
          <w:rFonts w:cs="Mangal"/>
          <w:sz w:val="2"/>
          <w:szCs w:val="2"/>
        </w:rPr>
      </w:pPr>
      <w:r>
        <w:rPr>
          <w:color w:val="000000"/>
          <w:sz w:val="24"/>
          <w:szCs w:val="24"/>
        </w:rPr>
        <w:t>Public Domain: School and Outside School</w:t>
      </w:r>
    </w:p>
    <w:p>
      <w:pPr>
        <w:pStyle w:val="4"/>
        <w:numPr>
          <w:ilvl w:val="0"/>
          <w:numId w:val="9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Private and Familial Domain</w:t>
      </w:r>
    </w:p>
    <w:p>
      <w:pPr>
        <w:pStyle w:val="4"/>
        <w:numPr>
          <w:ilvl w:val="0"/>
          <w:numId w:val="9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Normalization and Social Role Valorisation</w:t>
      </w:r>
    </w:p>
    <w:p>
      <w:pPr>
        <w:pStyle w:val="4"/>
        <w:numPr>
          <w:ilvl w:val="1"/>
          <w:numId w:val="10"/>
        </w:numPr>
        <w:shd w:val="clear" w:color="auto" w:fill="FFFFFF"/>
        <w:spacing w:line="317" w:lineRule="exac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2.4 Gender and Disability Analysis: Techniques and Strategies</w:t>
      </w:r>
    </w:p>
    <w:p>
      <w:pPr>
        <w:pStyle w:val="4"/>
        <w:numPr>
          <w:ilvl w:val="1"/>
          <w:numId w:val="10"/>
        </w:numPr>
        <w:shd w:val="clear" w:color="auto" w:fill="FFFFFF"/>
        <w:spacing w:line="317" w:lineRule="exac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2.5 Psyche and Gender: Implications for Teaching</w:t>
      </w:r>
    </w:p>
    <w:p>
      <w:pPr>
        <w:shd w:val="clear" w:color="auto" w:fill="FFFFFF"/>
      </w:pPr>
      <w:r>
        <w:rPr>
          <w:b/>
          <w:bCs/>
          <w:color w:val="000000"/>
          <w:spacing w:val="-2"/>
          <w:sz w:val="24"/>
          <w:szCs w:val="24"/>
        </w:rPr>
        <w:t>Unit 3: Women and Girl Child with Disability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10 Hours</w:t>
      </w:r>
    </w:p>
    <w:p>
      <w:pPr>
        <w:shd w:val="clear" w:color="auto" w:fill="FFFFFF"/>
        <w:spacing w:before="120" w:beforeAutospacing="0" w:line="317" w:lineRule="exact"/>
        <w:ind w:left="365"/>
      </w:pPr>
      <w:r>
        <w:rPr>
          <w:color w:val="000000"/>
          <w:spacing w:val="-15"/>
          <w:sz w:val="24"/>
          <w:szCs w:val="24"/>
        </w:rPr>
        <w:t>3.1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Inclusive Equality</w:t>
      </w:r>
    </w:p>
    <w:p>
      <w:pPr>
        <w:pStyle w:val="4"/>
        <w:numPr>
          <w:ilvl w:val="0"/>
          <w:numId w:val="11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 to Family Life</w:t>
      </w:r>
    </w:p>
    <w:p>
      <w:pPr>
        <w:pStyle w:val="4"/>
        <w:numPr>
          <w:ilvl w:val="0"/>
          <w:numId w:val="11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 to Education, Vocational Training and Employment</w:t>
      </w:r>
    </w:p>
    <w:p>
      <w:pPr>
        <w:pStyle w:val="4"/>
        <w:numPr>
          <w:ilvl w:val="0"/>
          <w:numId w:val="11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 to Political Participation</w:t>
      </w:r>
    </w:p>
    <w:p>
      <w:pPr>
        <w:shd w:val="clear" w:color="auto" w:fill="FFFFFF"/>
        <w:spacing w:line="317" w:lineRule="exact"/>
        <w:ind w:left="365"/>
      </w:pPr>
      <w:r>
        <w:rPr>
          <w:color w:val="000000"/>
          <w:spacing w:val="-7"/>
          <w:sz w:val="24"/>
          <w:szCs w:val="24"/>
        </w:rPr>
        <w:t>3.2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Factors Contributing to Disability</w:t>
      </w:r>
    </w:p>
    <w:p>
      <w:pPr>
        <w:pStyle w:val="4"/>
        <w:numPr>
          <w:ilvl w:val="0"/>
          <w:numId w:val="12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Gender-Based Violence in School and Within Family</w:t>
      </w:r>
    </w:p>
    <w:p>
      <w:pPr>
        <w:pStyle w:val="4"/>
        <w:numPr>
          <w:ilvl w:val="0"/>
          <w:numId w:val="12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Traditional Practices</w:t>
      </w:r>
    </w:p>
    <w:p>
      <w:pPr>
        <w:pStyle w:val="4"/>
        <w:numPr>
          <w:ilvl w:val="1"/>
          <w:numId w:val="13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Sexual and Reproductive Health</w:t>
      </w:r>
    </w:p>
    <w:p>
      <w:pPr>
        <w:pStyle w:val="4"/>
        <w:numPr>
          <w:ilvl w:val="1"/>
          <w:numId w:val="13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Teacher's Role in Promoting Gender Equality</w:t>
      </w:r>
    </w:p>
    <w:p>
      <w:pPr>
        <w:pStyle w:val="4"/>
        <w:numPr>
          <w:ilvl w:val="1"/>
          <w:numId w:val="13"/>
        </w:num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 Critique of Legislation, Government Policy and Schemes</w:t>
      </w:r>
    </w:p>
    <w:p>
      <w:pPr>
        <w:shd w:val="clear" w:color="auto" w:fill="FFFFFF"/>
        <w:spacing w:line="317" w:lineRule="exac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Practicum/Field Engagement</w:t>
      </w:r>
    </w:p>
    <w:p>
      <w:pPr>
        <w:shd w:val="clear" w:color="auto" w:fill="FFFFFF"/>
        <w:spacing w:before="125" w:beforeAutospacing="0" w:line="317" w:lineRule="exact"/>
        <w:ind w:left="331" w:right="2304" w:firstLine="77"/>
      </w:pPr>
      <w:r>
        <w:rPr>
          <w:color w:val="000000"/>
          <w:spacing w:val="-1"/>
          <w:sz w:val="24"/>
          <w:szCs w:val="24"/>
        </w:rPr>
        <w:t xml:space="preserve">I. Study the case of a woman with disability and submit a report </w:t>
      </w:r>
      <w:r>
        <w:rPr>
          <w:color w:val="000000"/>
          <w:sz w:val="24"/>
          <w:szCs w:val="24"/>
        </w:rPr>
        <w:t>II. Review selected paper/s authored by women with disability III. Conduct a gender analysis of a selected disability Act/Policy</w:t>
      </w:r>
    </w:p>
    <w:p>
      <w:pPr>
        <w:shd w:val="clear" w:color="auto" w:fill="FFFFFF"/>
        <w:spacing w:before="269" w:beforeAutospacing="0"/>
        <w:ind w:left="5"/>
      </w:pPr>
      <w:r>
        <w:rPr>
          <w:b/>
          <w:bCs/>
          <w:color w:val="000000"/>
          <w:spacing w:val="-2"/>
          <w:sz w:val="24"/>
          <w:szCs w:val="24"/>
        </w:rPr>
        <w:t>Transaction</w:t>
      </w:r>
    </w:p>
    <w:p>
      <w:pPr>
        <w:shd w:val="clear" w:color="auto" w:fill="FFFFFF"/>
        <w:spacing w:before="125" w:beforeAutospacing="0" w:line="317" w:lineRule="exact"/>
        <w:ind w:right="14"/>
        <w:jc w:val="both"/>
      </w:pPr>
      <w:r>
        <w:rPr>
          <w:color w:val="000000"/>
          <w:sz w:val="24"/>
          <w:szCs w:val="24"/>
        </w:rPr>
        <w:t xml:space="preserve">This course has been designed to provide the student teachers a socio-cultural perspective to </w:t>
      </w:r>
      <w:r>
        <w:rPr>
          <w:color w:val="000000"/>
          <w:spacing w:val="8"/>
          <w:sz w:val="24"/>
          <w:szCs w:val="24"/>
        </w:rPr>
        <w:t xml:space="preserve">disability. It aims to promote awareness about the space for disability equity and </w:t>
      </w:r>
      <w:r>
        <w:rPr>
          <w:color w:val="000000"/>
          <w:spacing w:val="1"/>
          <w:sz w:val="24"/>
          <w:szCs w:val="24"/>
        </w:rPr>
        <w:t xml:space="preserve">rehabilitation within the human rights system. As such the transaction of the course topics </w:t>
      </w:r>
      <w:r>
        <w:rPr>
          <w:color w:val="000000"/>
          <w:sz w:val="24"/>
          <w:szCs w:val="24"/>
        </w:rPr>
        <w:t xml:space="preserve">should be done through focus group discussions, and issue-based classroom interactions in </w:t>
      </w:r>
      <w:r>
        <w:rPr>
          <w:color w:val="000000"/>
          <w:spacing w:val="-1"/>
          <w:sz w:val="24"/>
          <w:szCs w:val="24"/>
        </w:rPr>
        <w:t>addition to lectures and seminars.</w:t>
      </w:r>
    </w:p>
    <w:p>
      <w:pPr>
        <w:shd w:val="clear" w:color="auto" w:fill="FFFFFF"/>
        <w:spacing w:before="509" w:beforeAutospacing="0"/>
      </w:pPr>
      <w:r>
        <w:rPr>
          <w:b/>
          <w:bCs/>
          <w:color w:val="000000"/>
          <w:spacing w:val="-1"/>
          <w:sz w:val="24"/>
          <w:szCs w:val="24"/>
        </w:rPr>
        <w:t>Essential Readings</w:t>
      </w:r>
    </w:p>
    <w:p>
      <w:pPr>
        <w:shd w:val="clear" w:color="auto" w:fill="FFFFFF"/>
        <w:spacing w:before="139" w:beforeAutospacing="0" w:line="317" w:lineRule="exact"/>
        <w:ind w:left="696" w:hanging="331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Habib, L. A. (1997). </w:t>
      </w:r>
      <w:r>
        <w:rPr>
          <w:i/>
          <w:iCs/>
          <w:color w:val="000000"/>
          <w:spacing w:val="-1"/>
          <w:sz w:val="24"/>
          <w:szCs w:val="24"/>
        </w:rPr>
        <w:t>Gender and Disability: Women's Experiences in the Middle East.</w:t>
      </w:r>
      <w:r>
        <w:rPr>
          <w:i/>
          <w:iCs/>
          <w:color w:val="000000"/>
          <w:spacing w:val="-1"/>
          <w:sz w:val="24"/>
          <w:szCs w:val="24"/>
        </w:rPr>
        <w:br w:type="textWrapping"/>
      </w:r>
      <w:r>
        <w:rPr>
          <w:color w:val="000000"/>
          <w:spacing w:val="-3"/>
          <w:sz w:val="24"/>
          <w:szCs w:val="24"/>
        </w:rPr>
        <w:t>Oxfam, UK.</w:t>
      </w:r>
    </w:p>
    <w:p>
      <w:pPr>
        <w:shd w:val="clear" w:color="auto" w:fill="FFFFFF"/>
        <w:spacing w:before="67" w:beforeAutospacing="0" w:line="322" w:lineRule="exact"/>
        <w:ind w:left="696" w:hanging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Hans, A. (2015). </w:t>
      </w:r>
      <w:r>
        <w:rPr>
          <w:i/>
          <w:iCs/>
          <w:color w:val="000000"/>
          <w:sz w:val="24"/>
          <w:szCs w:val="24"/>
        </w:rPr>
        <w:t xml:space="preserve">Disability, Gender and the Trajectories of Power. </w:t>
      </w:r>
      <w:r>
        <w:rPr>
          <w:color w:val="000000"/>
          <w:sz w:val="24"/>
          <w:szCs w:val="24"/>
        </w:rPr>
        <w:t>Sage Publications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pacing w:val="-2"/>
          <w:sz w:val="24"/>
          <w:szCs w:val="24"/>
        </w:rPr>
        <w:t>Pvt. Ltd.</w:t>
      </w:r>
    </w:p>
    <w:p>
      <w:pPr>
        <w:shd w:val="clear" w:color="auto" w:fill="FFFFFF"/>
        <w:spacing w:before="106" w:beforeAutospacing="0"/>
        <w:ind w:lef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Meekosha, H. (2004). </w:t>
      </w:r>
      <w:r>
        <w:rPr>
          <w:i/>
          <w:iCs/>
          <w:color w:val="000000"/>
          <w:sz w:val="24"/>
          <w:szCs w:val="24"/>
        </w:rPr>
        <w:t xml:space="preserve">Gender and Disability. </w:t>
      </w:r>
      <w:r>
        <w:rPr>
          <w:color w:val="000000"/>
          <w:sz w:val="24"/>
          <w:szCs w:val="24"/>
        </w:rPr>
        <w:t>Sage Encyclopaedia of Disability.</w:t>
      </w:r>
    </w:p>
    <w:p>
      <w:pPr>
        <w:shd w:val="clear" w:color="auto" w:fill="FFFFFF"/>
        <w:spacing w:before="72" w:beforeAutospacing="0" w:line="322" w:lineRule="exact"/>
        <w:ind w:left="696" w:hanging="331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O'Brien,   J.,   &amp;   Forde,   C.   (2008).   </w:t>
      </w:r>
      <w:r>
        <w:rPr>
          <w:i/>
          <w:iCs/>
          <w:color w:val="000000"/>
          <w:spacing w:val="1"/>
          <w:sz w:val="24"/>
          <w:szCs w:val="24"/>
        </w:rPr>
        <w:t>Tackling  Gender Inequality,   Raising Pupil</w:t>
      </w:r>
      <w:r>
        <w:rPr>
          <w:i/>
          <w:iCs/>
          <w:color w:val="000000"/>
          <w:spacing w:val="1"/>
          <w:sz w:val="24"/>
          <w:szCs w:val="24"/>
        </w:rPr>
        <w:br w:type="textWrapping"/>
      </w:r>
      <w:r>
        <w:rPr>
          <w:i/>
          <w:iCs/>
          <w:color w:val="000000"/>
          <w:spacing w:val="2"/>
          <w:sz w:val="24"/>
          <w:szCs w:val="24"/>
        </w:rPr>
        <w:t>Achievement</w:t>
      </w:r>
      <w:r>
        <w:rPr>
          <w:color w:val="000000"/>
          <w:spacing w:val="2"/>
          <w:sz w:val="24"/>
          <w:szCs w:val="24"/>
        </w:rPr>
        <w:t>, Dunedin Academic.</w:t>
      </w:r>
    </w:p>
    <w:p>
      <w:pPr>
        <w:shd w:val="clear" w:color="auto" w:fill="FFFFFF"/>
        <w:spacing w:before="67" w:beforeAutospacing="0" w:line="322" w:lineRule="exact"/>
        <w:ind w:left="696" w:hanging="331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Ridgeway, C. L. (2011). </w:t>
      </w:r>
      <w:r>
        <w:rPr>
          <w:i/>
          <w:iCs/>
          <w:color w:val="000000"/>
          <w:spacing w:val="2"/>
          <w:sz w:val="24"/>
          <w:szCs w:val="24"/>
        </w:rPr>
        <w:t>Framed by Gender: How Gender Inequality Persists in the</w:t>
      </w:r>
      <w:r>
        <w:rPr>
          <w:i/>
          <w:iCs/>
          <w:color w:val="000000"/>
          <w:spacing w:val="2"/>
          <w:sz w:val="24"/>
          <w:szCs w:val="24"/>
        </w:rPr>
        <w:br w:type="textWrapping"/>
      </w:r>
      <w:r>
        <w:rPr>
          <w:i/>
          <w:iCs/>
          <w:color w:val="000000"/>
          <w:sz w:val="24"/>
          <w:szCs w:val="24"/>
        </w:rPr>
        <w:t xml:space="preserve">Modern World. </w:t>
      </w:r>
      <w:r>
        <w:rPr>
          <w:color w:val="000000"/>
          <w:sz w:val="24"/>
          <w:szCs w:val="24"/>
        </w:rPr>
        <w:t>Oxford University Press.</w:t>
      </w:r>
    </w:p>
    <w:p>
      <w:pPr>
        <w:shd w:val="clear" w:color="auto" w:fill="FFFFFF"/>
        <w:spacing w:before="67" w:beforeAutospacing="0" w:line="317" w:lineRule="exact"/>
        <w:ind w:left="696" w:hanging="331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Samuels, E. (2014). </w:t>
      </w:r>
      <w:r>
        <w:rPr>
          <w:i/>
          <w:iCs/>
          <w:color w:val="000000"/>
          <w:spacing w:val="-1"/>
          <w:sz w:val="24"/>
          <w:szCs w:val="24"/>
        </w:rPr>
        <w:t xml:space="preserve">Fantasies of Identification: Disability, Gender, Race. </w:t>
      </w:r>
      <w:r>
        <w:rPr>
          <w:color w:val="000000"/>
          <w:spacing w:val="-1"/>
          <w:sz w:val="24"/>
          <w:szCs w:val="24"/>
        </w:rPr>
        <w:t>NYU Press,</w:t>
      </w:r>
      <w:r>
        <w:rPr>
          <w:color w:val="000000"/>
          <w:spacing w:val="-1"/>
          <w:sz w:val="24"/>
          <w:szCs w:val="24"/>
        </w:rPr>
        <w:br w:type="textWrapping"/>
      </w:r>
      <w:r>
        <w:rPr>
          <w:color w:val="000000"/>
          <w:spacing w:val="-5"/>
          <w:sz w:val="24"/>
          <w:szCs w:val="24"/>
        </w:rPr>
        <w:t>USA.</w:t>
      </w:r>
    </w:p>
    <w:p>
      <w:pPr>
        <w:shd w:val="clear" w:color="auto" w:fill="FFFFFF"/>
        <w:spacing w:before="62" w:beforeAutospacing="0" w:line="326" w:lineRule="exact"/>
        <w:ind w:left="696" w:hanging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Smith, B. G., &amp; Hutchison, B. (2013). </w:t>
      </w:r>
      <w:r>
        <w:rPr>
          <w:i/>
          <w:iCs/>
          <w:color w:val="000000"/>
          <w:sz w:val="24"/>
          <w:szCs w:val="24"/>
        </w:rPr>
        <w:t xml:space="preserve">Gendering Disability. </w:t>
      </w:r>
      <w:r>
        <w:rPr>
          <w:color w:val="000000"/>
          <w:sz w:val="24"/>
          <w:szCs w:val="24"/>
        </w:rPr>
        <w:t>Rutger University Press,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pacing w:val="-2"/>
          <w:sz w:val="24"/>
          <w:szCs w:val="24"/>
        </w:rPr>
        <w:t>New Jersey.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00000000" w:csb1="00000000"/>
  </w:font>
  <w:font w:name="Mangal">
    <w:altName w:val="Thonburi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4664F"/>
    <w:multiLevelType w:val="multilevel"/>
    <w:tmpl w:val="1384664F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AD63625"/>
    <w:multiLevelType w:val="multilevel"/>
    <w:tmpl w:val="1AD63625"/>
    <w:lvl w:ilvl="0" w:tentative="0">
      <w:start w:val="1"/>
      <w:numFmt w:val="decimal"/>
      <w:lvlText w:val="2.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4927B5"/>
    <w:multiLevelType w:val="multilevel"/>
    <w:tmpl w:val="3F4927B5"/>
    <w:lvl w:ilvl="0" w:tentative="0">
      <w:start w:val="4"/>
      <w:numFmt w:val="decimal"/>
      <w:lvlText w:val="1.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41C307E"/>
    <w:multiLevelType w:val="multilevel"/>
    <w:tmpl w:val="441C307E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CF4D20"/>
    <w:multiLevelType w:val="multilevel"/>
    <w:tmpl w:val="45CF4D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C117832"/>
    <w:multiLevelType w:val="multilevel"/>
    <w:tmpl w:val="4C117832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520F4258"/>
    <w:multiLevelType w:val="multilevel"/>
    <w:tmpl w:val="520F4258"/>
    <w:lvl w:ilvl="0" w:tentative="0">
      <w:start w:val="1"/>
      <w:numFmt w:val="bullet"/>
      <w:lvlText w:val=""/>
      <w:lvlJc w:val="left"/>
      <w:pPr>
        <w:ind w:left="108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5" w:hanging="360"/>
      </w:pPr>
      <w:rPr>
        <w:rFonts w:hint="default" w:ascii="Wingdings" w:hAnsi="Wingdings"/>
      </w:rPr>
    </w:lvl>
  </w:abstractNum>
  <w:abstractNum w:abstractNumId="7">
    <w:nsid w:val="61140448"/>
    <w:multiLevelType w:val="multilevel"/>
    <w:tmpl w:val="61140448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1D45A9E"/>
    <w:multiLevelType w:val="multilevel"/>
    <w:tmpl w:val="61D45A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06A6A9C"/>
    <w:multiLevelType w:val="multilevel"/>
    <w:tmpl w:val="706A6A9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2B43F8C"/>
    <w:multiLevelType w:val="multilevel"/>
    <w:tmpl w:val="72B43F8C"/>
    <w:lvl w:ilvl="0" w:tentative="0">
      <w:start w:val="1"/>
      <w:numFmt w:val="bullet"/>
      <w:lvlText w:val=""/>
      <w:lvlJc w:val="left"/>
      <w:pPr>
        <w:ind w:left="14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5" w:hanging="360"/>
      </w:pPr>
      <w:rPr>
        <w:rFonts w:hint="default" w:ascii="Wingdings" w:hAnsi="Wingdings"/>
      </w:rPr>
    </w:lvl>
  </w:abstractNum>
  <w:abstractNum w:abstractNumId="11">
    <w:nsid w:val="76992FA8"/>
    <w:multiLevelType w:val="multilevel"/>
    <w:tmpl w:val="76992FA8"/>
    <w:lvl w:ilvl="0" w:tentative="0">
      <w:start w:val="1"/>
      <w:numFmt w:val="bullet"/>
      <w:lvlText w:val=""/>
      <w:lvlJc w:val="left"/>
      <w:pPr>
        <w:ind w:left="144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5" w:hanging="360"/>
      </w:pPr>
      <w:rPr>
        <w:rFonts w:hint="default" w:ascii="Wingdings" w:hAnsi="Wingdings"/>
      </w:rPr>
    </w:lvl>
  </w:abstractNum>
  <w:abstractNum w:abstractNumId="12">
    <w:nsid w:val="7E414F9C"/>
    <w:multiLevelType w:val="multilevel"/>
    <w:tmpl w:val="7E414F9C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 w:cs="Mangal"/>
        <w:color w:val="auto"/>
        <w:sz w:val="2"/>
      </w:rPr>
    </w:lvl>
    <w:lvl w:ilvl="1" w:tentative="0">
      <w:start w:val="4"/>
      <w:numFmt w:val="decimal"/>
      <w:lvlText w:val="%1.%2"/>
      <w:lvlJc w:val="left"/>
      <w:pPr>
        <w:ind w:left="360" w:hanging="360"/>
      </w:pPr>
      <w:rPr>
        <w:rFonts w:hint="default" w:cs="Mangal"/>
        <w:color w:val="auto"/>
        <w:sz w:val="2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cs="Mangal"/>
        <w:color w:val="auto"/>
        <w:sz w:val="2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 w:cs="Mangal"/>
        <w:color w:val="auto"/>
        <w:sz w:val="2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cs="Mangal"/>
        <w:color w:val="auto"/>
        <w:sz w:val="2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 w:cs="Mangal"/>
        <w:color w:val="auto"/>
        <w:sz w:val="2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cs="Mangal"/>
        <w:color w:val="auto"/>
        <w:sz w:val="2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 w:cs="Mangal"/>
        <w:color w:val="auto"/>
        <w:sz w:val="2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Mangal"/>
        <w:color w:val="auto"/>
        <w:sz w:val="2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B8"/>
    <w:rsid w:val="00040F6C"/>
    <w:rsid w:val="001760F1"/>
    <w:rsid w:val="005D0116"/>
    <w:rsid w:val="0076615E"/>
    <w:rsid w:val="00810AE5"/>
    <w:rsid w:val="00B60FB8"/>
    <w:rsid w:val="DB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100" w:beforeAutospacing="1"/>
    </w:pPr>
    <w:rPr>
      <w:rFonts w:ascii="Times New Roman" w:hAnsi="Times New Roman" w:eastAsia="SimSun" w:cs="Times New Roman"/>
      <w:kern w:val="0"/>
      <w:sz w:val="20"/>
      <w:szCs w:val="20"/>
      <w:lang w:val="en-IN" w:eastAsia="en-GB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2666</Characters>
  <Lines>22</Lines>
  <Paragraphs>6</Paragraphs>
  <TotalTime>0</TotalTime>
  <ScaleCrop>false</ScaleCrop>
  <LinksUpToDate>false</LinksUpToDate>
  <CharactersWithSpaces>3127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2024-06-10T10:12:00Z</dcterms:created>
  <dc:creator>Deepika Ahlawat</dc:creator>
  <cp:lastModifiedBy>dr.deepika</cp:lastModifiedBy>
  <dcterms:modified xsi:type="dcterms:W3CDTF">2024-06-10T10:35:14Z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